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B8" w:rsidRDefault="00D933B8" w:rsidP="00D933B8">
      <w:pPr>
        <w:pStyle w:val="Default"/>
        <w:rPr>
          <w:b/>
          <w:bCs/>
          <w:sz w:val="32"/>
          <w:szCs w:val="32"/>
        </w:rPr>
      </w:pPr>
    </w:p>
    <w:p w:rsidR="00D933B8" w:rsidRDefault="00D933B8" w:rsidP="00D933B8">
      <w:pPr>
        <w:pStyle w:val="Default"/>
        <w:rPr>
          <w:b/>
          <w:bCs/>
          <w:sz w:val="32"/>
          <w:szCs w:val="32"/>
        </w:rPr>
      </w:pPr>
      <w:r>
        <w:rPr>
          <w:b/>
          <w:bCs/>
          <w:noProof/>
          <w:sz w:val="32"/>
          <w:szCs w:val="32"/>
          <w:lang w:eastAsia="en-GB"/>
        </w:rPr>
        <w:drawing>
          <wp:inline distT="0" distB="0" distL="0" distR="0">
            <wp:extent cx="122464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esbury Logo gif 2 small.jpg"/>
                    <pic:cNvPicPr/>
                  </pic:nvPicPr>
                  <pic:blipFill>
                    <a:blip r:embed="rId4">
                      <a:extLst>
                        <a:ext uri="{28A0092B-C50C-407E-A947-70E740481C1C}">
                          <a14:useLocalDpi xmlns:a14="http://schemas.microsoft.com/office/drawing/2010/main" val="0"/>
                        </a:ext>
                      </a:extLst>
                    </a:blip>
                    <a:stretch>
                      <a:fillRect/>
                    </a:stretch>
                  </pic:blipFill>
                  <pic:spPr>
                    <a:xfrm>
                      <a:off x="0" y="0"/>
                      <a:ext cx="1236817" cy="1385234"/>
                    </a:xfrm>
                    <a:prstGeom prst="rect">
                      <a:avLst/>
                    </a:prstGeom>
                  </pic:spPr>
                </pic:pic>
              </a:graphicData>
            </a:graphic>
          </wp:inline>
        </w:drawing>
      </w:r>
    </w:p>
    <w:p w:rsidR="00D933B8" w:rsidRDefault="00D933B8" w:rsidP="00D933B8">
      <w:pPr>
        <w:pStyle w:val="Default"/>
        <w:rPr>
          <w:b/>
          <w:bCs/>
          <w:sz w:val="32"/>
          <w:szCs w:val="32"/>
        </w:rPr>
      </w:pPr>
    </w:p>
    <w:p w:rsidR="00D933B8" w:rsidRPr="00A7505B" w:rsidRDefault="00D933B8" w:rsidP="00D933B8">
      <w:pPr>
        <w:pStyle w:val="Default"/>
        <w:rPr>
          <w:b/>
          <w:bCs/>
          <w:sz w:val="32"/>
          <w:szCs w:val="32"/>
        </w:rPr>
      </w:pPr>
      <w:r>
        <w:rPr>
          <w:b/>
          <w:bCs/>
          <w:sz w:val="32"/>
          <w:szCs w:val="32"/>
        </w:rPr>
        <w:t>Year 7 Catch Up Funding 20118-19</w:t>
      </w:r>
      <w:r w:rsidRPr="00A7505B">
        <w:rPr>
          <w:b/>
          <w:bCs/>
          <w:sz w:val="32"/>
          <w:szCs w:val="32"/>
        </w:rPr>
        <w:t xml:space="preserve"> </w:t>
      </w:r>
    </w:p>
    <w:p w:rsidR="00D933B8" w:rsidRDefault="00D933B8" w:rsidP="00D933B8">
      <w:pPr>
        <w:pStyle w:val="Default"/>
        <w:rPr>
          <w:sz w:val="28"/>
          <w:szCs w:val="28"/>
        </w:rPr>
      </w:pPr>
    </w:p>
    <w:p w:rsidR="00D933B8" w:rsidRPr="00D933B8" w:rsidRDefault="00D933B8" w:rsidP="00D933B8">
      <w:pPr>
        <w:rPr>
          <w:sz w:val="24"/>
          <w:szCs w:val="24"/>
        </w:rPr>
      </w:pPr>
      <w:r w:rsidRPr="00D933B8">
        <w:rPr>
          <w:sz w:val="24"/>
          <w:szCs w:val="24"/>
        </w:rPr>
        <w:t xml:space="preserve">The Year 7 Catch </w:t>
      </w:r>
      <w:proofErr w:type="gramStart"/>
      <w:r w:rsidRPr="00D933B8">
        <w:rPr>
          <w:sz w:val="24"/>
          <w:szCs w:val="24"/>
        </w:rPr>
        <w:t>Up</w:t>
      </w:r>
      <w:proofErr w:type="gramEnd"/>
      <w:r w:rsidRPr="00D933B8">
        <w:rPr>
          <w:sz w:val="24"/>
          <w:szCs w:val="24"/>
        </w:rPr>
        <w:t xml:space="preserve"> Funding is a government initiative designed to target resources on </w:t>
      </w:r>
      <w:r w:rsidRPr="00D933B8">
        <w:rPr>
          <w:rFonts w:ascii="Arial" w:hAnsi="Arial" w:cs="Arial"/>
          <w:sz w:val="24"/>
          <w:szCs w:val="24"/>
        </w:rPr>
        <w:t>those</w:t>
      </w:r>
      <w:r w:rsidRPr="00D933B8">
        <w:rPr>
          <w:sz w:val="24"/>
          <w:szCs w:val="24"/>
        </w:rPr>
        <w:t xml:space="preserve"> students who have not achieved level 4 or above in Reading and/or Maths. The Department for Education (</w:t>
      </w:r>
      <w:proofErr w:type="spellStart"/>
      <w:r w:rsidRPr="00D933B8">
        <w:rPr>
          <w:sz w:val="24"/>
          <w:szCs w:val="24"/>
        </w:rPr>
        <w:t>DfE</w:t>
      </w:r>
      <w:proofErr w:type="spellEnd"/>
      <w:r w:rsidRPr="00D933B8">
        <w:rPr>
          <w:sz w:val="24"/>
          <w:szCs w:val="24"/>
        </w:rPr>
        <w:t>) provides us with an additional £500 for each student to we can deliver extra support to help these students to ‘catch up’. This year we will receive £</w:t>
      </w:r>
      <w:r w:rsidRPr="00D933B8">
        <w:rPr>
          <w:b/>
          <w:sz w:val="24"/>
          <w:szCs w:val="24"/>
        </w:rPr>
        <w:t>6429</w:t>
      </w:r>
      <w:r w:rsidRPr="00D933B8">
        <w:rPr>
          <w:sz w:val="24"/>
          <w:szCs w:val="24"/>
        </w:rPr>
        <w:t xml:space="preserve"> in Catch Up funding. Students’ progress is monitored carefully to ensure that the Catch up programme is having an impact. The details of how the school plans to use this funding to support our students and boost their English and Maths levels are outlined below.</w:t>
      </w:r>
      <w:r w:rsidRPr="00D933B8">
        <w:rPr>
          <w:sz w:val="24"/>
          <w:szCs w:val="24"/>
        </w:rPr>
        <w:t xml:space="preserve">  </w:t>
      </w:r>
      <w:proofErr w:type="spellStart"/>
      <w:r w:rsidRPr="00D933B8">
        <w:rPr>
          <w:sz w:val="24"/>
          <w:szCs w:val="24"/>
        </w:rPr>
        <w:t>Halesbury</w:t>
      </w:r>
      <w:proofErr w:type="spellEnd"/>
      <w:r w:rsidRPr="00D933B8">
        <w:rPr>
          <w:sz w:val="24"/>
          <w:szCs w:val="24"/>
        </w:rPr>
        <w:t xml:space="preserve"> provides this by training and using specialist trained staff to deliver targeted interventions of catch up.</w:t>
      </w:r>
    </w:p>
    <w:p w:rsidR="00D933B8" w:rsidRDefault="00D933B8" w:rsidP="00D933B8">
      <w:pPr>
        <w:rPr>
          <w:sz w:val="28"/>
          <w:szCs w:val="28"/>
        </w:rPr>
      </w:pPr>
    </w:p>
    <w:p w:rsidR="00D933B8" w:rsidRDefault="00D933B8" w:rsidP="00D933B8">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D933B8" w:rsidTr="00D933B8">
        <w:tc>
          <w:tcPr>
            <w:tcW w:w="2254" w:type="dxa"/>
          </w:tcPr>
          <w:p w:rsidR="00D933B8" w:rsidRPr="00D933B8" w:rsidRDefault="00D933B8" w:rsidP="00D933B8">
            <w:pPr>
              <w:autoSpaceDE w:val="0"/>
              <w:autoSpaceDN w:val="0"/>
              <w:adjustRightInd w:val="0"/>
              <w:spacing w:line="264" w:lineRule="exact"/>
              <w:ind w:left="102" w:right="-20"/>
              <w:rPr>
                <w:rFonts w:ascii="Arial" w:hAnsi="Arial" w:cs="Arial"/>
                <w:sz w:val="24"/>
                <w:szCs w:val="24"/>
              </w:rPr>
            </w:pPr>
            <w:r w:rsidRPr="00D933B8">
              <w:rPr>
                <w:rFonts w:ascii="Arial" w:hAnsi="Arial" w:cs="Arial"/>
                <w:b/>
                <w:bCs/>
                <w:spacing w:val="1"/>
                <w:position w:val="1"/>
                <w:sz w:val="24"/>
                <w:szCs w:val="24"/>
              </w:rPr>
              <w:t>I</w:t>
            </w:r>
            <w:r w:rsidRPr="00D933B8">
              <w:rPr>
                <w:rFonts w:ascii="Arial" w:hAnsi="Arial" w:cs="Arial"/>
                <w:b/>
                <w:bCs/>
                <w:spacing w:val="-1"/>
                <w:position w:val="1"/>
                <w:sz w:val="24"/>
                <w:szCs w:val="24"/>
              </w:rPr>
              <w:t>n</w:t>
            </w:r>
            <w:r w:rsidRPr="00D933B8">
              <w:rPr>
                <w:rFonts w:ascii="Arial" w:hAnsi="Arial" w:cs="Arial"/>
                <w:b/>
                <w:bCs/>
                <w:spacing w:val="1"/>
                <w:position w:val="1"/>
                <w:sz w:val="24"/>
                <w:szCs w:val="24"/>
              </w:rPr>
              <w:t>i</w:t>
            </w:r>
            <w:r w:rsidRPr="00D933B8">
              <w:rPr>
                <w:rFonts w:ascii="Arial" w:hAnsi="Arial" w:cs="Arial"/>
                <w:b/>
                <w:bCs/>
                <w:spacing w:val="-2"/>
                <w:position w:val="1"/>
                <w:sz w:val="24"/>
                <w:szCs w:val="24"/>
              </w:rPr>
              <w:t>t</w:t>
            </w:r>
            <w:r w:rsidRPr="00D933B8">
              <w:rPr>
                <w:rFonts w:ascii="Arial" w:hAnsi="Arial" w:cs="Arial"/>
                <w:b/>
                <w:bCs/>
                <w:spacing w:val="1"/>
                <w:position w:val="1"/>
                <w:sz w:val="24"/>
                <w:szCs w:val="24"/>
              </w:rPr>
              <w:t>i</w:t>
            </w:r>
            <w:r w:rsidRPr="00D933B8">
              <w:rPr>
                <w:rFonts w:ascii="Arial" w:hAnsi="Arial" w:cs="Arial"/>
                <w:b/>
                <w:bCs/>
                <w:spacing w:val="-1"/>
                <w:position w:val="1"/>
                <w:sz w:val="24"/>
                <w:szCs w:val="24"/>
              </w:rPr>
              <w:t>a</w:t>
            </w:r>
            <w:r w:rsidRPr="00D933B8">
              <w:rPr>
                <w:rFonts w:ascii="Arial" w:hAnsi="Arial" w:cs="Arial"/>
                <w:b/>
                <w:bCs/>
                <w:position w:val="1"/>
                <w:sz w:val="24"/>
                <w:szCs w:val="24"/>
              </w:rPr>
              <w:t>t</w:t>
            </w:r>
            <w:r w:rsidRPr="00D933B8">
              <w:rPr>
                <w:rFonts w:ascii="Arial" w:hAnsi="Arial" w:cs="Arial"/>
                <w:b/>
                <w:bCs/>
                <w:spacing w:val="-1"/>
                <w:position w:val="1"/>
                <w:sz w:val="24"/>
                <w:szCs w:val="24"/>
              </w:rPr>
              <w:t>i</w:t>
            </w:r>
            <w:r w:rsidRPr="00D933B8">
              <w:rPr>
                <w:rFonts w:ascii="Arial" w:hAnsi="Arial" w:cs="Arial"/>
                <w:b/>
                <w:bCs/>
                <w:spacing w:val="1"/>
                <w:position w:val="1"/>
                <w:sz w:val="24"/>
                <w:szCs w:val="24"/>
              </w:rPr>
              <w:t>v</w:t>
            </w:r>
            <w:r w:rsidRPr="00D933B8">
              <w:rPr>
                <w:rFonts w:ascii="Arial" w:hAnsi="Arial" w:cs="Arial"/>
                <w:b/>
                <w:bCs/>
                <w:position w:val="1"/>
                <w:sz w:val="24"/>
                <w:szCs w:val="24"/>
              </w:rPr>
              <w:t>e</w:t>
            </w:r>
          </w:p>
        </w:tc>
        <w:tc>
          <w:tcPr>
            <w:tcW w:w="2254" w:type="dxa"/>
          </w:tcPr>
          <w:p w:rsidR="00D933B8" w:rsidRPr="00D933B8" w:rsidRDefault="00D933B8" w:rsidP="00D933B8">
            <w:pPr>
              <w:autoSpaceDE w:val="0"/>
              <w:autoSpaceDN w:val="0"/>
              <w:adjustRightInd w:val="0"/>
              <w:spacing w:line="264" w:lineRule="exact"/>
              <w:ind w:left="102" w:right="-20"/>
              <w:rPr>
                <w:rFonts w:ascii="Arial" w:hAnsi="Arial" w:cs="Arial"/>
                <w:sz w:val="24"/>
                <w:szCs w:val="24"/>
              </w:rPr>
            </w:pPr>
            <w:r w:rsidRPr="00D933B8">
              <w:rPr>
                <w:rFonts w:ascii="Arial" w:hAnsi="Arial" w:cs="Arial"/>
                <w:b/>
                <w:bCs/>
                <w:spacing w:val="-1"/>
                <w:position w:val="1"/>
                <w:sz w:val="24"/>
                <w:szCs w:val="24"/>
              </w:rPr>
              <w:t>S</w:t>
            </w:r>
            <w:r w:rsidRPr="00D933B8">
              <w:rPr>
                <w:rFonts w:ascii="Arial" w:hAnsi="Arial" w:cs="Arial"/>
                <w:b/>
                <w:bCs/>
                <w:position w:val="1"/>
                <w:sz w:val="24"/>
                <w:szCs w:val="24"/>
              </w:rPr>
              <w:t>t</w:t>
            </w:r>
            <w:r w:rsidRPr="00D933B8">
              <w:rPr>
                <w:rFonts w:ascii="Arial" w:hAnsi="Arial" w:cs="Arial"/>
                <w:b/>
                <w:bCs/>
                <w:spacing w:val="1"/>
                <w:position w:val="1"/>
                <w:sz w:val="24"/>
                <w:szCs w:val="24"/>
              </w:rPr>
              <w:t>r</w:t>
            </w:r>
            <w:r w:rsidRPr="00D933B8">
              <w:rPr>
                <w:rFonts w:ascii="Arial" w:hAnsi="Arial" w:cs="Arial"/>
                <w:b/>
                <w:bCs/>
                <w:spacing w:val="-1"/>
                <w:position w:val="1"/>
                <w:sz w:val="24"/>
                <w:szCs w:val="24"/>
              </w:rPr>
              <w:t>a</w:t>
            </w:r>
            <w:r w:rsidRPr="00D933B8">
              <w:rPr>
                <w:rFonts w:ascii="Arial" w:hAnsi="Arial" w:cs="Arial"/>
                <w:b/>
                <w:bCs/>
                <w:position w:val="1"/>
                <w:sz w:val="24"/>
                <w:szCs w:val="24"/>
              </w:rPr>
              <w:t>teg</w:t>
            </w:r>
            <w:r w:rsidRPr="00D933B8">
              <w:rPr>
                <w:rFonts w:ascii="Arial" w:hAnsi="Arial" w:cs="Arial"/>
                <w:b/>
                <w:bCs/>
                <w:spacing w:val="1"/>
                <w:position w:val="1"/>
                <w:sz w:val="24"/>
                <w:szCs w:val="24"/>
              </w:rPr>
              <w:t>i</w:t>
            </w:r>
            <w:r w:rsidRPr="00D933B8">
              <w:rPr>
                <w:rFonts w:ascii="Arial" w:hAnsi="Arial" w:cs="Arial"/>
                <w:b/>
                <w:bCs/>
                <w:spacing w:val="-1"/>
                <w:position w:val="1"/>
                <w:sz w:val="24"/>
                <w:szCs w:val="24"/>
              </w:rPr>
              <w:t>e</w:t>
            </w:r>
            <w:r w:rsidRPr="00D933B8">
              <w:rPr>
                <w:rFonts w:ascii="Arial" w:hAnsi="Arial" w:cs="Arial"/>
                <w:b/>
                <w:bCs/>
                <w:position w:val="1"/>
                <w:sz w:val="24"/>
                <w:szCs w:val="24"/>
              </w:rPr>
              <w:t>s</w:t>
            </w:r>
          </w:p>
        </w:tc>
        <w:tc>
          <w:tcPr>
            <w:tcW w:w="2254" w:type="dxa"/>
          </w:tcPr>
          <w:p w:rsidR="00D933B8" w:rsidRPr="00D933B8" w:rsidRDefault="00D933B8" w:rsidP="00D933B8">
            <w:pPr>
              <w:autoSpaceDE w:val="0"/>
              <w:autoSpaceDN w:val="0"/>
              <w:adjustRightInd w:val="0"/>
              <w:spacing w:line="264" w:lineRule="exact"/>
              <w:ind w:left="102" w:right="-20"/>
              <w:rPr>
                <w:rFonts w:ascii="Arial" w:hAnsi="Arial" w:cs="Arial"/>
                <w:sz w:val="24"/>
                <w:szCs w:val="24"/>
              </w:rPr>
            </w:pPr>
            <w:r w:rsidRPr="00D933B8">
              <w:rPr>
                <w:rFonts w:ascii="Arial" w:hAnsi="Arial" w:cs="Arial"/>
                <w:b/>
                <w:bCs/>
                <w:spacing w:val="1"/>
                <w:position w:val="1"/>
                <w:sz w:val="24"/>
                <w:szCs w:val="24"/>
              </w:rPr>
              <w:t>I</w:t>
            </w:r>
            <w:r w:rsidRPr="00D933B8">
              <w:rPr>
                <w:rFonts w:ascii="Arial" w:hAnsi="Arial" w:cs="Arial"/>
                <w:b/>
                <w:bCs/>
                <w:spacing w:val="-1"/>
                <w:position w:val="1"/>
                <w:sz w:val="24"/>
                <w:szCs w:val="24"/>
              </w:rPr>
              <w:t>n</w:t>
            </w:r>
            <w:r w:rsidRPr="00D933B8">
              <w:rPr>
                <w:rFonts w:ascii="Arial" w:hAnsi="Arial" w:cs="Arial"/>
                <w:b/>
                <w:bCs/>
                <w:position w:val="1"/>
                <w:sz w:val="24"/>
                <w:szCs w:val="24"/>
              </w:rPr>
              <w:t>te</w:t>
            </w:r>
            <w:r w:rsidRPr="00D933B8">
              <w:rPr>
                <w:rFonts w:ascii="Arial" w:hAnsi="Arial" w:cs="Arial"/>
                <w:b/>
                <w:bCs/>
                <w:spacing w:val="-1"/>
                <w:position w:val="1"/>
                <w:sz w:val="24"/>
                <w:szCs w:val="24"/>
              </w:rPr>
              <w:t>nde</w:t>
            </w:r>
            <w:r w:rsidRPr="00D933B8">
              <w:rPr>
                <w:rFonts w:ascii="Arial" w:hAnsi="Arial" w:cs="Arial"/>
                <w:b/>
                <w:bCs/>
                <w:position w:val="1"/>
                <w:sz w:val="24"/>
                <w:szCs w:val="24"/>
              </w:rPr>
              <w:t>d</w:t>
            </w:r>
            <w:r w:rsidRPr="00D933B8">
              <w:rPr>
                <w:rFonts w:ascii="Arial" w:hAnsi="Arial" w:cs="Arial"/>
                <w:b/>
                <w:bCs/>
                <w:spacing w:val="-1"/>
                <w:position w:val="1"/>
                <w:sz w:val="24"/>
                <w:szCs w:val="24"/>
              </w:rPr>
              <w:t xml:space="preserve"> </w:t>
            </w:r>
            <w:r w:rsidRPr="00D933B8">
              <w:rPr>
                <w:rFonts w:ascii="Arial" w:hAnsi="Arial" w:cs="Arial"/>
                <w:b/>
                <w:bCs/>
                <w:spacing w:val="1"/>
                <w:position w:val="1"/>
                <w:sz w:val="24"/>
                <w:szCs w:val="24"/>
              </w:rPr>
              <w:t>I</w:t>
            </w:r>
            <w:r w:rsidRPr="00D933B8">
              <w:rPr>
                <w:rFonts w:ascii="Arial" w:hAnsi="Arial" w:cs="Arial"/>
                <w:b/>
                <w:bCs/>
                <w:position w:val="1"/>
                <w:sz w:val="24"/>
                <w:szCs w:val="24"/>
              </w:rPr>
              <w:t>mp</w:t>
            </w:r>
            <w:r w:rsidRPr="00D933B8">
              <w:rPr>
                <w:rFonts w:ascii="Arial" w:hAnsi="Arial" w:cs="Arial"/>
                <w:b/>
                <w:bCs/>
                <w:spacing w:val="-1"/>
                <w:position w:val="1"/>
                <w:sz w:val="24"/>
                <w:szCs w:val="24"/>
              </w:rPr>
              <w:t>a</w:t>
            </w:r>
            <w:r w:rsidRPr="00D933B8">
              <w:rPr>
                <w:rFonts w:ascii="Arial" w:hAnsi="Arial" w:cs="Arial"/>
                <w:b/>
                <w:bCs/>
                <w:spacing w:val="1"/>
                <w:position w:val="1"/>
                <w:sz w:val="24"/>
                <w:szCs w:val="24"/>
              </w:rPr>
              <w:t>c</w:t>
            </w:r>
            <w:r w:rsidRPr="00D933B8">
              <w:rPr>
                <w:rFonts w:ascii="Arial" w:hAnsi="Arial" w:cs="Arial"/>
                <w:b/>
                <w:bCs/>
                <w:position w:val="1"/>
                <w:sz w:val="24"/>
                <w:szCs w:val="24"/>
              </w:rPr>
              <w:t>t</w:t>
            </w:r>
          </w:p>
        </w:tc>
        <w:tc>
          <w:tcPr>
            <w:tcW w:w="2254" w:type="dxa"/>
          </w:tcPr>
          <w:p w:rsidR="00D933B8" w:rsidRPr="00D933B8" w:rsidRDefault="00D933B8" w:rsidP="00D933B8">
            <w:pPr>
              <w:autoSpaceDE w:val="0"/>
              <w:autoSpaceDN w:val="0"/>
              <w:adjustRightInd w:val="0"/>
              <w:spacing w:line="264" w:lineRule="exact"/>
              <w:ind w:left="102" w:right="-20"/>
              <w:jc w:val="center"/>
              <w:rPr>
                <w:rFonts w:ascii="Arial" w:hAnsi="Arial" w:cs="Arial"/>
                <w:b/>
                <w:bCs/>
                <w:spacing w:val="1"/>
                <w:position w:val="1"/>
                <w:sz w:val="24"/>
                <w:szCs w:val="24"/>
              </w:rPr>
            </w:pPr>
            <w:r w:rsidRPr="00D933B8">
              <w:rPr>
                <w:rFonts w:ascii="Arial" w:hAnsi="Arial" w:cs="Arial"/>
                <w:b/>
                <w:bCs/>
                <w:spacing w:val="1"/>
                <w:position w:val="1"/>
                <w:sz w:val="24"/>
                <w:szCs w:val="24"/>
              </w:rPr>
              <w:t>Funding Allocated</w:t>
            </w:r>
          </w:p>
        </w:tc>
      </w:tr>
      <w:tr w:rsidR="00D933B8" w:rsidTr="00D933B8">
        <w:tc>
          <w:tcPr>
            <w:tcW w:w="2254" w:type="dxa"/>
          </w:tcPr>
          <w:p w:rsidR="00D933B8" w:rsidRPr="00D933B8" w:rsidRDefault="00D933B8">
            <w:pPr>
              <w:rPr>
                <w:rFonts w:ascii="Arial" w:hAnsi="Arial" w:cs="Arial"/>
                <w:sz w:val="24"/>
                <w:szCs w:val="24"/>
              </w:rPr>
            </w:pPr>
            <w:r w:rsidRPr="00D933B8">
              <w:rPr>
                <w:rFonts w:ascii="Arial" w:hAnsi="Arial" w:cs="Arial"/>
                <w:sz w:val="24"/>
                <w:szCs w:val="24"/>
              </w:rPr>
              <w:t xml:space="preserve">Training and </w:t>
            </w:r>
            <w:r>
              <w:rPr>
                <w:rFonts w:ascii="Arial" w:hAnsi="Arial" w:cs="Arial"/>
                <w:sz w:val="24"/>
                <w:szCs w:val="24"/>
              </w:rPr>
              <w:t>refresher courses for catch up training in Literacy and Numeracy</w:t>
            </w:r>
          </w:p>
          <w:p w:rsidR="00D933B8" w:rsidRPr="00D933B8" w:rsidRDefault="00D933B8">
            <w:pPr>
              <w:rPr>
                <w:rFonts w:ascii="Arial" w:hAnsi="Arial" w:cs="Arial"/>
                <w:sz w:val="24"/>
                <w:szCs w:val="24"/>
              </w:rPr>
            </w:pPr>
          </w:p>
          <w:p w:rsidR="00D933B8" w:rsidRPr="00D933B8" w:rsidRDefault="00D933B8">
            <w:pPr>
              <w:rPr>
                <w:rFonts w:ascii="Arial" w:hAnsi="Arial" w:cs="Arial"/>
                <w:sz w:val="24"/>
                <w:szCs w:val="24"/>
              </w:rPr>
            </w:pPr>
          </w:p>
          <w:p w:rsidR="00D933B8" w:rsidRPr="00D933B8" w:rsidRDefault="00D933B8">
            <w:pPr>
              <w:rPr>
                <w:rFonts w:ascii="Arial" w:hAnsi="Arial" w:cs="Arial"/>
                <w:sz w:val="24"/>
                <w:szCs w:val="24"/>
              </w:rPr>
            </w:pPr>
          </w:p>
          <w:p w:rsidR="00D933B8" w:rsidRPr="00D933B8" w:rsidRDefault="00D933B8">
            <w:pPr>
              <w:rPr>
                <w:rFonts w:ascii="Arial" w:hAnsi="Arial" w:cs="Arial"/>
                <w:sz w:val="24"/>
                <w:szCs w:val="24"/>
              </w:rPr>
            </w:pPr>
          </w:p>
        </w:tc>
        <w:tc>
          <w:tcPr>
            <w:tcW w:w="2254" w:type="dxa"/>
          </w:tcPr>
          <w:p w:rsidR="00D933B8" w:rsidRPr="00D933B8" w:rsidRDefault="00D933B8">
            <w:pPr>
              <w:rPr>
                <w:rFonts w:ascii="Arial" w:hAnsi="Arial" w:cs="Arial"/>
                <w:sz w:val="24"/>
                <w:szCs w:val="24"/>
              </w:rPr>
            </w:pPr>
            <w:r>
              <w:rPr>
                <w:rFonts w:ascii="Arial" w:hAnsi="Arial" w:cs="Arial"/>
                <w:sz w:val="24"/>
                <w:szCs w:val="24"/>
              </w:rPr>
              <w:t>Pupils will be targeted through their assessment levels.  Meetings for pupil progress will take place to look at the correct interventions to improve pupils skills in  Literacy and Numeracy and improving outcomes</w:t>
            </w:r>
          </w:p>
        </w:tc>
        <w:tc>
          <w:tcPr>
            <w:tcW w:w="2254" w:type="dxa"/>
          </w:tcPr>
          <w:p w:rsidR="00D933B8" w:rsidRPr="00D933B8" w:rsidRDefault="00D933B8">
            <w:pPr>
              <w:rPr>
                <w:rFonts w:ascii="Arial" w:hAnsi="Arial" w:cs="Arial"/>
                <w:sz w:val="24"/>
                <w:szCs w:val="24"/>
              </w:rPr>
            </w:pPr>
            <w:r>
              <w:rPr>
                <w:rFonts w:ascii="Arial" w:hAnsi="Arial" w:cs="Arial"/>
                <w:sz w:val="24"/>
                <w:szCs w:val="24"/>
              </w:rPr>
              <w:t>Skilled and trained staff to deliver targeted interventions to improve pupil progress.</w:t>
            </w:r>
          </w:p>
        </w:tc>
        <w:tc>
          <w:tcPr>
            <w:tcW w:w="2254" w:type="dxa"/>
          </w:tcPr>
          <w:p w:rsidR="00D933B8" w:rsidRPr="00D933B8" w:rsidRDefault="00D933B8">
            <w:pPr>
              <w:rPr>
                <w:rFonts w:ascii="Arial" w:hAnsi="Arial" w:cs="Arial"/>
                <w:sz w:val="24"/>
                <w:szCs w:val="24"/>
              </w:rPr>
            </w:pPr>
            <w:r>
              <w:rPr>
                <w:rFonts w:ascii="Arial" w:hAnsi="Arial" w:cs="Arial"/>
                <w:sz w:val="24"/>
                <w:szCs w:val="24"/>
              </w:rPr>
              <w:t>£2000</w:t>
            </w:r>
          </w:p>
        </w:tc>
      </w:tr>
      <w:tr w:rsidR="00D933B8" w:rsidTr="00D933B8">
        <w:tc>
          <w:tcPr>
            <w:tcW w:w="2254" w:type="dxa"/>
          </w:tcPr>
          <w:p w:rsidR="00D933B8" w:rsidRPr="00D933B8" w:rsidRDefault="00D933B8">
            <w:pPr>
              <w:rPr>
                <w:rFonts w:ascii="Arial" w:hAnsi="Arial" w:cs="Arial"/>
                <w:sz w:val="24"/>
                <w:szCs w:val="24"/>
              </w:rPr>
            </w:pPr>
            <w:r>
              <w:rPr>
                <w:rFonts w:ascii="Arial" w:hAnsi="Arial" w:cs="Arial"/>
                <w:sz w:val="24"/>
                <w:szCs w:val="24"/>
              </w:rPr>
              <w:t>Release time from class for staff to deliver catch up.</w:t>
            </w:r>
          </w:p>
          <w:p w:rsidR="00D933B8" w:rsidRPr="00D933B8" w:rsidRDefault="00D933B8">
            <w:pPr>
              <w:rPr>
                <w:rFonts w:ascii="Arial" w:hAnsi="Arial" w:cs="Arial"/>
                <w:sz w:val="24"/>
                <w:szCs w:val="24"/>
              </w:rPr>
            </w:pPr>
          </w:p>
          <w:p w:rsidR="00D933B8" w:rsidRPr="00D933B8" w:rsidRDefault="00D933B8">
            <w:pPr>
              <w:rPr>
                <w:rFonts w:ascii="Arial" w:hAnsi="Arial" w:cs="Arial"/>
                <w:sz w:val="24"/>
                <w:szCs w:val="24"/>
              </w:rPr>
            </w:pPr>
          </w:p>
          <w:p w:rsidR="00D933B8" w:rsidRPr="00D933B8" w:rsidRDefault="00D933B8">
            <w:pPr>
              <w:rPr>
                <w:rFonts w:ascii="Arial" w:hAnsi="Arial" w:cs="Arial"/>
                <w:sz w:val="24"/>
                <w:szCs w:val="24"/>
              </w:rPr>
            </w:pPr>
          </w:p>
        </w:tc>
        <w:tc>
          <w:tcPr>
            <w:tcW w:w="2254" w:type="dxa"/>
          </w:tcPr>
          <w:p w:rsidR="00D933B8" w:rsidRPr="00D933B8" w:rsidRDefault="00D933B8" w:rsidP="00D933B8">
            <w:pPr>
              <w:rPr>
                <w:rFonts w:ascii="Arial" w:hAnsi="Arial" w:cs="Arial"/>
                <w:sz w:val="24"/>
                <w:szCs w:val="24"/>
              </w:rPr>
            </w:pPr>
            <w:r>
              <w:rPr>
                <w:rFonts w:ascii="Arial" w:hAnsi="Arial" w:cs="Arial"/>
                <w:sz w:val="24"/>
                <w:szCs w:val="24"/>
              </w:rPr>
              <w:t>Staff will work one to one with pupils to improve pu</w:t>
            </w:r>
            <w:r w:rsidR="000C2414">
              <w:rPr>
                <w:rFonts w:ascii="Arial" w:hAnsi="Arial" w:cs="Arial"/>
                <w:sz w:val="24"/>
                <w:szCs w:val="24"/>
              </w:rPr>
              <w:t>p</w:t>
            </w:r>
            <w:r>
              <w:rPr>
                <w:rFonts w:ascii="Arial" w:hAnsi="Arial" w:cs="Arial"/>
                <w:sz w:val="24"/>
                <w:szCs w:val="24"/>
              </w:rPr>
              <w:t>il progress in Literacy and Numeracy</w:t>
            </w:r>
          </w:p>
        </w:tc>
        <w:tc>
          <w:tcPr>
            <w:tcW w:w="2254" w:type="dxa"/>
          </w:tcPr>
          <w:p w:rsidR="00D933B8" w:rsidRPr="00D933B8" w:rsidRDefault="000C2414">
            <w:pPr>
              <w:rPr>
                <w:rFonts w:ascii="Arial" w:hAnsi="Arial" w:cs="Arial"/>
                <w:sz w:val="24"/>
                <w:szCs w:val="24"/>
              </w:rPr>
            </w:pPr>
            <w:r>
              <w:rPr>
                <w:rFonts w:ascii="Arial" w:hAnsi="Arial" w:cs="Arial"/>
                <w:sz w:val="24"/>
                <w:szCs w:val="24"/>
              </w:rPr>
              <w:t>For trained staff to be used effectively.</w:t>
            </w:r>
          </w:p>
        </w:tc>
        <w:tc>
          <w:tcPr>
            <w:tcW w:w="2254" w:type="dxa"/>
          </w:tcPr>
          <w:p w:rsidR="00D933B8" w:rsidRPr="00D933B8" w:rsidRDefault="00D933B8">
            <w:pPr>
              <w:rPr>
                <w:rFonts w:ascii="Arial" w:hAnsi="Arial" w:cs="Arial"/>
                <w:sz w:val="24"/>
                <w:szCs w:val="24"/>
              </w:rPr>
            </w:pPr>
            <w:r>
              <w:rPr>
                <w:rFonts w:ascii="Arial" w:hAnsi="Arial" w:cs="Arial"/>
                <w:sz w:val="24"/>
                <w:szCs w:val="24"/>
              </w:rPr>
              <w:t>$</w:t>
            </w:r>
            <w:r w:rsidR="000C2414">
              <w:rPr>
                <w:rFonts w:ascii="Arial" w:hAnsi="Arial" w:cs="Arial"/>
                <w:sz w:val="24"/>
                <w:szCs w:val="24"/>
              </w:rPr>
              <w:t>£2250</w:t>
            </w:r>
          </w:p>
        </w:tc>
      </w:tr>
      <w:tr w:rsidR="00D933B8" w:rsidTr="00D933B8">
        <w:tc>
          <w:tcPr>
            <w:tcW w:w="2254" w:type="dxa"/>
          </w:tcPr>
          <w:p w:rsidR="00D933B8" w:rsidRPr="00D933B8" w:rsidRDefault="000C2414" w:rsidP="000C2414">
            <w:pPr>
              <w:rPr>
                <w:rFonts w:ascii="Arial" w:hAnsi="Arial" w:cs="Arial"/>
                <w:sz w:val="24"/>
                <w:szCs w:val="24"/>
              </w:rPr>
            </w:pPr>
            <w:r>
              <w:rPr>
                <w:rFonts w:ascii="Arial" w:hAnsi="Arial" w:cs="Arial"/>
                <w:sz w:val="24"/>
                <w:szCs w:val="24"/>
              </w:rPr>
              <w:lastRenderedPageBreak/>
              <w:t>To have a Catch up co-ordinator trained and refreshed regularly to supervise, organise and plan targeted interventions.</w:t>
            </w:r>
          </w:p>
        </w:tc>
        <w:tc>
          <w:tcPr>
            <w:tcW w:w="2254" w:type="dxa"/>
          </w:tcPr>
          <w:p w:rsidR="00D933B8" w:rsidRPr="00D933B8" w:rsidRDefault="000C2414">
            <w:pPr>
              <w:rPr>
                <w:rFonts w:ascii="Arial" w:hAnsi="Arial" w:cs="Arial"/>
                <w:sz w:val="24"/>
                <w:szCs w:val="24"/>
              </w:rPr>
            </w:pPr>
            <w:r>
              <w:rPr>
                <w:rFonts w:ascii="Arial" w:hAnsi="Arial" w:cs="Arial"/>
                <w:sz w:val="24"/>
                <w:szCs w:val="24"/>
              </w:rPr>
              <w:t>Co-ordinated and organised staffing to target pupils for interventions</w:t>
            </w:r>
          </w:p>
        </w:tc>
        <w:tc>
          <w:tcPr>
            <w:tcW w:w="2254" w:type="dxa"/>
          </w:tcPr>
          <w:p w:rsidR="00D933B8" w:rsidRPr="00D933B8" w:rsidRDefault="00D933B8">
            <w:pPr>
              <w:rPr>
                <w:rFonts w:ascii="Arial" w:hAnsi="Arial" w:cs="Arial"/>
                <w:sz w:val="24"/>
                <w:szCs w:val="24"/>
              </w:rPr>
            </w:pPr>
          </w:p>
        </w:tc>
        <w:tc>
          <w:tcPr>
            <w:tcW w:w="2254" w:type="dxa"/>
          </w:tcPr>
          <w:p w:rsidR="00D933B8" w:rsidRPr="00D933B8" w:rsidRDefault="000C2414">
            <w:pPr>
              <w:rPr>
                <w:rFonts w:ascii="Arial" w:hAnsi="Arial" w:cs="Arial"/>
                <w:sz w:val="24"/>
                <w:szCs w:val="24"/>
              </w:rPr>
            </w:pPr>
            <w:r>
              <w:rPr>
                <w:rFonts w:ascii="Arial" w:hAnsi="Arial" w:cs="Arial"/>
                <w:sz w:val="24"/>
                <w:szCs w:val="24"/>
              </w:rPr>
              <w:t>£500</w:t>
            </w:r>
          </w:p>
        </w:tc>
      </w:tr>
      <w:tr w:rsidR="000C2414" w:rsidTr="00D933B8">
        <w:tc>
          <w:tcPr>
            <w:tcW w:w="2254" w:type="dxa"/>
          </w:tcPr>
          <w:p w:rsidR="000C2414" w:rsidRDefault="000C2414" w:rsidP="000C2414">
            <w:pPr>
              <w:rPr>
                <w:rFonts w:ascii="Arial" w:hAnsi="Arial" w:cs="Arial"/>
                <w:sz w:val="24"/>
                <w:szCs w:val="24"/>
              </w:rPr>
            </w:pPr>
            <w:r>
              <w:rPr>
                <w:rFonts w:ascii="Arial" w:hAnsi="Arial" w:cs="Arial"/>
                <w:sz w:val="24"/>
                <w:szCs w:val="24"/>
              </w:rPr>
              <w:t>Year 7 Literacy and Numeracy resources (Books) to have effective catch up.</w:t>
            </w:r>
          </w:p>
        </w:tc>
        <w:tc>
          <w:tcPr>
            <w:tcW w:w="2254" w:type="dxa"/>
          </w:tcPr>
          <w:p w:rsidR="000C2414" w:rsidRDefault="000C2414">
            <w:pPr>
              <w:rPr>
                <w:rFonts w:ascii="Arial" w:hAnsi="Arial" w:cs="Arial"/>
                <w:sz w:val="24"/>
                <w:szCs w:val="24"/>
              </w:rPr>
            </w:pPr>
            <w:r>
              <w:rPr>
                <w:rFonts w:ascii="Arial" w:hAnsi="Arial" w:cs="Arial"/>
                <w:sz w:val="24"/>
                <w:szCs w:val="24"/>
              </w:rPr>
              <w:t>Purchase of targeted resources for staff and pupils.</w:t>
            </w:r>
          </w:p>
        </w:tc>
        <w:tc>
          <w:tcPr>
            <w:tcW w:w="2254" w:type="dxa"/>
          </w:tcPr>
          <w:p w:rsidR="000C2414" w:rsidRPr="00D933B8" w:rsidRDefault="000C2414">
            <w:pPr>
              <w:rPr>
                <w:rFonts w:ascii="Arial" w:hAnsi="Arial" w:cs="Arial"/>
                <w:sz w:val="24"/>
                <w:szCs w:val="24"/>
              </w:rPr>
            </w:pPr>
            <w:r>
              <w:rPr>
                <w:rFonts w:ascii="Arial" w:hAnsi="Arial" w:cs="Arial"/>
                <w:sz w:val="24"/>
                <w:szCs w:val="24"/>
              </w:rPr>
              <w:t>Dedicated resources which aids planning and reduced planning workload fo0r the staff</w:t>
            </w:r>
          </w:p>
        </w:tc>
        <w:tc>
          <w:tcPr>
            <w:tcW w:w="2254" w:type="dxa"/>
          </w:tcPr>
          <w:p w:rsidR="000C2414" w:rsidRPr="00D933B8" w:rsidRDefault="000C2414">
            <w:pPr>
              <w:rPr>
                <w:rFonts w:ascii="Arial" w:hAnsi="Arial" w:cs="Arial"/>
                <w:sz w:val="24"/>
                <w:szCs w:val="24"/>
              </w:rPr>
            </w:pPr>
            <w:r>
              <w:rPr>
                <w:rFonts w:ascii="Arial" w:hAnsi="Arial" w:cs="Arial"/>
                <w:sz w:val="24"/>
                <w:szCs w:val="24"/>
              </w:rPr>
              <w:t>£1500</w:t>
            </w:r>
          </w:p>
        </w:tc>
      </w:tr>
      <w:tr w:rsidR="000C2414" w:rsidTr="00D933B8">
        <w:tc>
          <w:tcPr>
            <w:tcW w:w="2254" w:type="dxa"/>
          </w:tcPr>
          <w:p w:rsidR="000C2414" w:rsidRDefault="000C2414" w:rsidP="000C2414">
            <w:pPr>
              <w:rPr>
                <w:rFonts w:ascii="Arial" w:hAnsi="Arial" w:cs="Arial"/>
                <w:sz w:val="24"/>
                <w:szCs w:val="24"/>
              </w:rPr>
            </w:pPr>
          </w:p>
        </w:tc>
        <w:tc>
          <w:tcPr>
            <w:tcW w:w="2254" w:type="dxa"/>
          </w:tcPr>
          <w:p w:rsidR="000C2414" w:rsidRDefault="000C2414">
            <w:pPr>
              <w:rPr>
                <w:rFonts w:ascii="Arial" w:hAnsi="Arial" w:cs="Arial"/>
                <w:sz w:val="24"/>
                <w:szCs w:val="24"/>
              </w:rPr>
            </w:pPr>
          </w:p>
        </w:tc>
        <w:tc>
          <w:tcPr>
            <w:tcW w:w="2254" w:type="dxa"/>
          </w:tcPr>
          <w:p w:rsidR="000C2414" w:rsidRDefault="000C2414">
            <w:pPr>
              <w:rPr>
                <w:rFonts w:ascii="Arial" w:hAnsi="Arial" w:cs="Arial"/>
                <w:sz w:val="24"/>
                <w:szCs w:val="24"/>
              </w:rPr>
            </w:pPr>
            <w:r>
              <w:rPr>
                <w:rFonts w:ascii="Arial" w:hAnsi="Arial" w:cs="Arial"/>
                <w:sz w:val="24"/>
                <w:szCs w:val="24"/>
              </w:rPr>
              <w:t>Total Spend</w:t>
            </w:r>
          </w:p>
        </w:tc>
        <w:tc>
          <w:tcPr>
            <w:tcW w:w="2254" w:type="dxa"/>
          </w:tcPr>
          <w:p w:rsidR="000C2414" w:rsidRDefault="000C2414">
            <w:pPr>
              <w:rPr>
                <w:rFonts w:ascii="Arial" w:hAnsi="Arial" w:cs="Arial"/>
                <w:sz w:val="24"/>
                <w:szCs w:val="24"/>
              </w:rPr>
            </w:pPr>
            <w:r>
              <w:rPr>
                <w:rFonts w:ascii="Arial" w:hAnsi="Arial" w:cs="Arial"/>
                <w:sz w:val="24"/>
                <w:szCs w:val="24"/>
              </w:rPr>
              <w:t>£6250</w:t>
            </w:r>
            <w:bookmarkStart w:id="0" w:name="_GoBack"/>
            <w:bookmarkEnd w:id="0"/>
          </w:p>
        </w:tc>
      </w:tr>
    </w:tbl>
    <w:p w:rsidR="00C57CE6" w:rsidRDefault="00C57CE6"/>
    <w:sectPr w:rsidR="00C57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B8"/>
    <w:rsid w:val="000C2414"/>
    <w:rsid w:val="00C57CE6"/>
    <w:rsid w:val="00D9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77AE3-6FEA-4CD1-9A8D-D4155A77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3B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22089EAB</Template>
  <TotalTime>17</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KULYK</dc:creator>
  <cp:keywords/>
  <dc:description/>
  <cp:lastModifiedBy>Mr J. KULYK</cp:lastModifiedBy>
  <cp:revision>1</cp:revision>
  <dcterms:created xsi:type="dcterms:W3CDTF">2018-10-09T10:37:00Z</dcterms:created>
  <dcterms:modified xsi:type="dcterms:W3CDTF">2018-10-09T10:54:00Z</dcterms:modified>
</cp:coreProperties>
</file>